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5E" w:rsidRDefault="00E82E5E">
      <w:pPr>
        <w:rPr>
          <w:rFonts w:ascii="Arial" w:hAnsi="Arial" w:cs="Arial"/>
          <w:sz w:val="24"/>
          <w:szCs w:val="24"/>
        </w:rPr>
      </w:pPr>
      <w:r>
        <w:rPr>
          <w:rFonts w:ascii="Arial" w:hAnsi="Arial" w:cs="Arial"/>
          <w:sz w:val="24"/>
          <w:szCs w:val="24"/>
        </w:rPr>
        <w:t>Dear Parents/Carers</w:t>
      </w:r>
    </w:p>
    <w:p w:rsidR="00E82E5E" w:rsidRDefault="00E82E5E">
      <w:pPr>
        <w:rPr>
          <w:rFonts w:ascii="Arial" w:hAnsi="Arial" w:cs="Arial"/>
          <w:sz w:val="24"/>
          <w:szCs w:val="24"/>
        </w:rPr>
      </w:pPr>
      <w:r>
        <w:rPr>
          <w:rFonts w:ascii="Arial" w:hAnsi="Arial" w:cs="Arial"/>
          <w:sz w:val="24"/>
          <w:szCs w:val="24"/>
        </w:rPr>
        <w:t xml:space="preserve">The last two academic years have been very challenging and with a combination of national lockdowns, </w:t>
      </w:r>
      <w:r w:rsidR="00BE2D71">
        <w:rPr>
          <w:rFonts w:ascii="Arial" w:hAnsi="Arial" w:cs="Arial"/>
          <w:sz w:val="24"/>
          <w:szCs w:val="24"/>
        </w:rPr>
        <w:t>self-isolation</w:t>
      </w:r>
      <w:r>
        <w:rPr>
          <w:rFonts w:ascii="Arial" w:hAnsi="Arial" w:cs="Arial"/>
          <w:sz w:val="24"/>
          <w:szCs w:val="24"/>
        </w:rPr>
        <w:t xml:space="preserve"> and class and year group bubbles bursting it has been very difficult to track attendance.  I am sure you will agree this then makes attendance at school a priority so the children miss a</w:t>
      </w:r>
      <w:r w:rsidR="00BE2D71">
        <w:rPr>
          <w:rFonts w:ascii="Arial" w:hAnsi="Arial" w:cs="Arial"/>
          <w:sz w:val="24"/>
          <w:szCs w:val="24"/>
        </w:rPr>
        <w:t>s</w:t>
      </w:r>
      <w:r>
        <w:rPr>
          <w:rFonts w:ascii="Arial" w:hAnsi="Arial" w:cs="Arial"/>
          <w:sz w:val="24"/>
          <w:szCs w:val="24"/>
        </w:rPr>
        <w:t xml:space="preserve"> little school</w:t>
      </w:r>
      <w:r w:rsidR="00BE2D71">
        <w:rPr>
          <w:rFonts w:ascii="Arial" w:hAnsi="Arial" w:cs="Arial"/>
          <w:sz w:val="24"/>
          <w:szCs w:val="24"/>
        </w:rPr>
        <w:t xml:space="preserve"> as</w:t>
      </w:r>
      <w:r>
        <w:rPr>
          <w:rFonts w:ascii="Arial" w:hAnsi="Arial" w:cs="Arial"/>
          <w:sz w:val="24"/>
          <w:szCs w:val="24"/>
        </w:rPr>
        <w:t xml:space="preserve"> possible as we move forward into what hopefully will be an uninterrupted year.</w:t>
      </w:r>
    </w:p>
    <w:p w:rsidR="00E82E5E" w:rsidRDefault="00E82E5E">
      <w:pPr>
        <w:rPr>
          <w:rFonts w:ascii="Arial" w:hAnsi="Arial" w:cs="Arial"/>
          <w:sz w:val="24"/>
          <w:szCs w:val="24"/>
        </w:rPr>
      </w:pPr>
      <w:r>
        <w:rPr>
          <w:rFonts w:ascii="Arial" w:hAnsi="Arial" w:cs="Arial"/>
          <w:sz w:val="24"/>
          <w:szCs w:val="24"/>
        </w:rPr>
        <w:t>As a school we have decided to take this opportunity to revisit and refresh our attendance proc</w:t>
      </w:r>
      <w:r w:rsidR="00E945C2">
        <w:rPr>
          <w:rFonts w:ascii="Arial" w:hAnsi="Arial" w:cs="Arial"/>
          <w:sz w:val="24"/>
          <w:szCs w:val="24"/>
        </w:rPr>
        <w:t>edures for</w:t>
      </w:r>
      <w:r w:rsidR="00ED5D52">
        <w:rPr>
          <w:rFonts w:ascii="Arial" w:hAnsi="Arial" w:cs="Arial"/>
          <w:sz w:val="24"/>
          <w:szCs w:val="24"/>
        </w:rPr>
        <w:t xml:space="preserve"> the academic year 2021</w:t>
      </w:r>
      <w:r>
        <w:rPr>
          <w:rFonts w:ascii="Arial" w:hAnsi="Arial" w:cs="Arial"/>
          <w:sz w:val="24"/>
          <w:szCs w:val="24"/>
        </w:rPr>
        <w:t>-2</w:t>
      </w:r>
      <w:r w:rsidR="00ED5D52">
        <w:rPr>
          <w:rFonts w:ascii="Arial" w:hAnsi="Arial" w:cs="Arial"/>
          <w:sz w:val="24"/>
          <w:szCs w:val="24"/>
        </w:rPr>
        <w:t>2</w:t>
      </w:r>
      <w:r>
        <w:rPr>
          <w:rFonts w:ascii="Arial" w:hAnsi="Arial" w:cs="Arial"/>
          <w:sz w:val="24"/>
          <w:szCs w:val="24"/>
        </w:rPr>
        <w:t>. Y</w:t>
      </w:r>
      <w:r w:rsidR="00BE2D71">
        <w:rPr>
          <w:rFonts w:ascii="Arial" w:hAnsi="Arial" w:cs="Arial"/>
          <w:sz w:val="24"/>
          <w:szCs w:val="24"/>
        </w:rPr>
        <w:t>ou will now be able to visit our</w:t>
      </w:r>
      <w:r>
        <w:rPr>
          <w:rFonts w:ascii="Arial" w:hAnsi="Arial" w:cs="Arial"/>
          <w:sz w:val="24"/>
          <w:szCs w:val="24"/>
        </w:rPr>
        <w:t xml:space="preserve"> school website and see what procedures we have in school for tracking attendance and what </w:t>
      </w:r>
      <w:r w:rsidR="004A3E0F">
        <w:rPr>
          <w:rFonts w:ascii="Arial" w:hAnsi="Arial" w:cs="Arial"/>
          <w:sz w:val="24"/>
          <w:szCs w:val="24"/>
        </w:rPr>
        <w:t>the different</w:t>
      </w:r>
      <w:r>
        <w:rPr>
          <w:rFonts w:ascii="Arial" w:hAnsi="Arial" w:cs="Arial"/>
          <w:sz w:val="24"/>
          <w:szCs w:val="24"/>
        </w:rPr>
        <w:t xml:space="preserve"> zones mean.</w:t>
      </w:r>
    </w:p>
    <w:p w:rsidR="00E82E5E" w:rsidRDefault="00E82E5E">
      <w:pPr>
        <w:rPr>
          <w:rFonts w:ascii="Arial" w:hAnsi="Arial" w:cs="Arial"/>
          <w:sz w:val="24"/>
          <w:szCs w:val="24"/>
        </w:rPr>
      </w:pPr>
      <w:r>
        <w:rPr>
          <w:rFonts w:ascii="Arial" w:hAnsi="Arial" w:cs="Arial"/>
          <w:sz w:val="24"/>
          <w:szCs w:val="24"/>
        </w:rPr>
        <w:t>Regular attendan</w:t>
      </w:r>
      <w:r w:rsidR="00255705">
        <w:rPr>
          <w:rFonts w:ascii="Arial" w:hAnsi="Arial" w:cs="Arial"/>
          <w:sz w:val="24"/>
          <w:szCs w:val="24"/>
        </w:rPr>
        <w:t xml:space="preserve">ce moving forward into this </w:t>
      </w:r>
      <w:r>
        <w:rPr>
          <w:rFonts w:ascii="Arial" w:hAnsi="Arial" w:cs="Arial"/>
          <w:sz w:val="24"/>
          <w:szCs w:val="24"/>
        </w:rPr>
        <w:t>academic year is vitally important to support your child in the missed learning that has occurred due to the pandemic.  It is so important that we work together to</w:t>
      </w:r>
      <w:r w:rsidR="00BE2D71">
        <w:rPr>
          <w:rFonts w:ascii="Arial" w:hAnsi="Arial" w:cs="Arial"/>
          <w:sz w:val="24"/>
          <w:szCs w:val="24"/>
        </w:rPr>
        <w:t xml:space="preserve"> ensure your child is attending</w:t>
      </w:r>
      <w:r>
        <w:rPr>
          <w:rFonts w:ascii="Arial" w:hAnsi="Arial" w:cs="Arial"/>
          <w:sz w:val="24"/>
          <w:szCs w:val="24"/>
        </w:rPr>
        <w:t xml:space="preserve"> </w:t>
      </w:r>
      <w:r w:rsidR="00BE2D71">
        <w:rPr>
          <w:rFonts w:ascii="Arial" w:hAnsi="Arial" w:cs="Arial"/>
          <w:sz w:val="24"/>
          <w:szCs w:val="24"/>
        </w:rPr>
        <w:t>school</w:t>
      </w:r>
      <w:r>
        <w:rPr>
          <w:rFonts w:ascii="Arial" w:hAnsi="Arial" w:cs="Arial"/>
          <w:sz w:val="24"/>
          <w:szCs w:val="24"/>
        </w:rPr>
        <w:t xml:space="preserve"> as much as possible.  I do </w:t>
      </w:r>
      <w:r w:rsidR="00BE2D71">
        <w:rPr>
          <w:rFonts w:ascii="Arial" w:hAnsi="Arial" w:cs="Arial"/>
          <w:sz w:val="24"/>
          <w:szCs w:val="24"/>
        </w:rPr>
        <w:t>understand</w:t>
      </w:r>
      <w:r>
        <w:rPr>
          <w:rFonts w:ascii="Arial" w:hAnsi="Arial" w:cs="Arial"/>
          <w:sz w:val="24"/>
          <w:szCs w:val="24"/>
        </w:rPr>
        <w:t xml:space="preserve"> it will be tempting to take your </w:t>
      </w:r>
      <w:r w:rsidR="00BE2D71">
        <w:rPr>
          <w:rFonts w:ascii="Arial" w:hAnsi="Arial" w:cs="Arial"/>
          <w:sz w:val="24"/>
          <w:szCs w:val="24"/>
        </w:rPr>
        <w:t>child</w:t>
      </w:r>
      <w:r>
        <w:rPr>
          <w:rFonts w:ascii="Arial" w:hAnsi="Arial" w:cs="Arial"/>
          <w:sz w:val="24"/>
          <w:szCs w:val="24"/>
        </w:rPr>
        <w:t xml:space="preserve"> out of school for a </w:t>
      </w:r>
      <w:r w:rsidR="00BE2D71">
        <w:rPr>
          <w:rFonts w:ascii="Arial" w:hAnsi="Arial" w:cs="Arial"/>
          <w:sz w:val="24"/>
          <w:szCs w:val="24"/>
        </w:rPr>
        <w:t>holiday</w:t>
      </w:r>
      <w:r>
        <w:rPr>
          <w:rFonts w:ascii="Arial" w:hAnsi="Arial" w:cs="Arial"/>
          <w:sz w:val="24"/>
          <w:szCs w:val="24"/>
        </w:rPr>
        <w:t xml:space="preserve"> when the travel windows open but can I remind you that we do not authorise </w:t>
      </w:r>
      <w:r w:rsidR="00BE2D71">
        <w:rPr>
          <w:rFonts w:ascii="Arial" w:hAnsi="Arial" w:cs="Arial"/>
          <w:sz w:val="24"/>
          <w:szCs w:val="24"/>
        </w:rPr>
        <w:t>holidays</w:t>
      </w:r>
      <w:r>
        <w:rPr>
          <w:rFonts w:ascii="Arial" w:hAnsi="Arial" w:cs="Arial"/>
          <w:sz w:val="24"/>
          <w:szCs w:val="24"/>
        </w:rPr>
        <w:t xml:space="preserve"> in school time and your child will miss further learning. Positive attendance is a priority, </w:t>
      </w:r>
      <w:r w:rsidR="00BE2D71">
        <w:rPr>
          <w:rFonts w:ascii="Arial" w:hAnsi="Arial" w:cs="Arial"/>
          <w:sz w:val="24"/>
          <w:szCs w:val="24"/>
        </w:rPr>
        <w:t>however</w:t>
      </w:r>
      <w:r>
        <w:rPr>
          <w:rFonts w:ascii="Arial" w:hAnsi="Arial" w:cs="Arial"/>
          <w:sz w:val="24"/>
          <w:szCs w:val="24"/>
        </w:rPr>
        <w:t xml:space="preserve"> </w:t>
      </w:r>
      <w:r w:rsidR="00BE2D71">
        <w:rPr>
          <w:rFonts w:ascii="Arial" w:hAnsi="Arial" w:cs="Arial"/>
          <w:sz w:val="24"/>
          <w:szCs w:val="24"/>
        </w:rPr>
        <w:t>I do understand that sometimes absence is unavoidable and we have procedures for you to inform us of this.</w:t>
      </w:r>
    </w:p>
    <w:p w:rsidR="004A3E0F" w:rsidRDefault="004A3E0F">
      <w:pPr>
        <w:rPr>
          <w:rFonts w:ascii="Arial" w:hAnsi="Arial" w:cs="Arial"/>
          <w:sz w:val="24"/>
          <w:szCs w:val="24"/>
        </w:rPr>
      </w:pPr>
      <w:r>
        <w:rPr>
          <w:rFonts w:ascii="Arial" w:hAnsi="Arial" w:cs="Arial"/>
          <w:sz w:val="24"/>
          <w:szCs w:val="24"/>
        </w:rPr>
        <w:t>Below I have included a chart to show you what the effect missed school days can have on a pupil’s attendance.  These figures would be taken over a full academic year.</w:t>
      </w:r>
    </w:p>
    <w:p w:rsidR="00BE2D71" w:rsidRDefault="00BE2D71">
      <w:pPr>
        <w:rPr>
          <w:rFonts w:ascii="Arial" w:hAnsi="Arial" w:cs="Arial"/>
          <w:sz w:val="24"/>
          <w:szCs w:val="24"/>
        </w:rPr>
      </w:pPr>
    </w:p>
    <w:tbl>
      <w:tblPr>
        <w:tblStyle w:val="TableGrid"/>
        <w:tblW w:w="9284" w:type="dxa"/>
        <w:tblLook w:val="04A0" w:firstRow="1" w:lastRow="0" w:firstColumn="1" w:lastColumn="0" w:noHBand="0" w:noVBand="1"/>
      </w:tblPr>
      <w:tblGrid>
        <w:gridCol w:w="2321"/>
        <w:gridCol w:w="2321"/>
        <w:gridCol w:w="2321"/>
        <w:gridCol w:w="2321"/>
      </w:tblGrid>
      <w:tr w:rsidR="00BE2D71" w:rsidTr="004A3E0F">
        <w:trPr>
          <w:trHeight w:val="237"/>
        </w:trPr>
        <w:tc>
          <w:tcPr>
            <w:tcW w:w="2321" w:type="dxa"/>
          </w:tcPr>
          <w:p w:rsidR="00BE2D71" w:rsidRDefault="00BE2D71">
            <w:pPr>
              <w:rPr>
                <w:rFonts w:ascii="Arial" w:hAnsi="Arial" w:cs="Arial"/>
                <w:sz w:val="24"/>
                <w:szCs w:val="24"/>
              </w:rPr>
            </w:pPr>
            <w:r>
              <w:rPr>
                <w:rFonts w:ascii="Arial" w:hAnsi="Arial" w:cs="Arial"/>
                <w:sz w:val="24"/>
                <w:szCs w:val="24"/>
              </w:rPr>
              <w:t>Days Absent</w:t>
            </w:r>
          </w:p>
        </w:tc>
        <w:tc>
          <w:tcPr>
            <w:tcW w:w="2321" w:type="dxa"/>
          </w:tcPr>
          <w:p w:rsidR="00BE2D71" w:rsidRDefault="00BE2D71">
            <w:pPr>
              <w:rPr>
                <w:rFonts w:ascii="Arial" w:hAnsi="Arial" w:cs="Arial"/>
                <w:sz w:val="24"/>
                <w:szCs w:val="24"/>
              </w:rPr>
            </w:pPr>
            <w:r>
              <w:rPr>
                <w:rFonts w:ascii="Arial" w:hAnsi="Arial" w:cs="Arial"/>
                <w:sz w:val="24"/>
                <w:szCs w:val="24"/>
              </w:rPr>
              <w:t>Missed Time</w:t>
            </w:r>
          </w:p>
        </w:tc>
        <w:tc>
          <w:tcPr>
            <w:tcW w:w="2321" w:type="dxa"/>
          </w:tcPr>
          <w:p w:rsidR="00BE2D71" w:rsidRDefault="00BE2D71">
            <w:pPr>
              <w:rPr>
                <w:rFonts w:ascii="Arial" w:hAnsi="Arial" w:cs="Arial"/>
                <w:sz w:val="24"/>
                <w:szCs w:val="24"/>
              </w:rPr>
            </w:pPr>
            <w:r>
              <w:rPr>
                <w:rFonts w:ascii="Arial" w:hAnsi="Arial" w:cs="Arial"/>
                <w:sz w:val="24"/>
                <w:szCs w:val="24"/>
              </w:rPr>
              <w:t>Missed Lessons</w:t>
            </w:r>
          </w:p>
        </w:tc>
        <w:tc>
          <w:tcPr>
            <w:tcW w:w="2321" w:type="dxa"/>
          </w:tcPr>
          <w:p w:rsidR="00BE2D71" w:rsidRDefault="007271C3">
            <w:pPr>
              <w:rPr>
                <w:rFonts w:ascii="Arial" w:hAnsi="Arial" w:cs="Arial"/>
                <w:sz w:val="24"/>
                <w:szCs w:val="24"/>
              </w:rPr>
            </w:pPr>
            <w:r>
              <w:rPr>
                <w:rFonts w:ascii="Arial" w:hAnsi="Arial" w:cs="Arial"/>
                <w:sz w:val="24"/>
                <w:szCs w:val="24"/>
              </w:rPr>
              <w:t>Attendance</w:t>
            </w:r>
          </w:p>
        </w:tc>
      </w:tr>
      <w:tr w:rsidR="00BE2D71" w:rsidTr="004A3E0F">
        <w:trPr>
          <w:trHeight w:val="237"/>
        </w:trPr>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1</w:t>
            </w:r>
          </w:p>
        </w:tc>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1 day</w:t>
            </w:r>
          </w:p>
        </w:tc>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5</w:t>
            </w:r>
          </w:p>
        </w:tc>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99.5%</w:t>
            </w:r>
          </w:p>
        </w:tc>
      </w:tr>
      <w:tr w:rsidR="00BE2D71" w:rsidTr="004A3E0F">
        <w:trPr>
          <w:trHeight w:val="237"/>
        </w:trPr>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2</w:t>
            </w:r>
          </w:p>
        </w:tc>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2 days</w:t>
            </w:r>
          </w:p>
        </w:tc>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10</w:t>
            </w:r>
          </w:p>
        </w:tc>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99%</w:t>
            </w:r>
          </w:p>
        </w:tc>
      </w:tr>
      <w:tr w:rsidR="00BE2D71" w:rsidTr="004A3E0F">
        <w:trPr>
          <w:trHeight w:val="237"/>
        </w:trPr>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3</w:t>
            </w:r>
          </w:p>
        </w:tc>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3 days</w:t>
            </w:r>
          </w:p>
        </w:tc>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15</w:t>
            </w:r>
          </w:p>
        </w:tc>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98.5%</w:t>
            </w:r>
          </w:p>
        </w:tc>
      </w:tr>
      <w:tr w:rsidR="00BE2D71" w:rsidTr="004A3E0F">
        <w:trPr>
          <w:trHeight w:val="237"/>
        </w:trPr>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4</w:t>
            </w:r>
          </w:p>
        </w:tc>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4 days</w:t>
            </w:r>
          </w:p>
        </w:tc>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20</w:t>
            </w:r>
          </w:p>
        </w:tc>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98%</w:t>
            </w:r>
          </w:p>
        </w:tc>
      </w:tr>
      <w:tr w:rsidR="00BE2D71" w:rsidTr="004A3E0F">
        <w:trPr>
          <w:trHeight w:val="237"/>
        </w:trPr>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5</w:t>
            </w:r>
          </w:p>
        </w:tc>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1 week</w:t>
            </w:r>
          </w:p>
        </w:tc>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25</w:t>
            </w:r>
          </w:p>
        </w:tc>
        <w:tc>
          <w:tcPr>
            <w:tcW w:w="2321" w:type="dxa"/>
            <w:shd w:val="clear" w:color="auto" w:fill="92D050"/>
          </w:tcPr>
          <w:p w:rsidR="00BE2D71" w:rsidRDefault="004A3E0F" w:rsidP="00BE2D71">
            <w:pPr>
              <w:jc w:val="center"/>
              <w:rPr>
                <w:rFonts w:ascii="Arial" w:hAnsi="Arial" w:cs="Arial"/>
                <w:sz w:val="24"/>
                <w:szCs w:val="24"/>
              </w:rPr>
            </w:pPr>
            <w:r>
              <w:rPr>
                <w:rFonts w:ascii="Arial" w:hAnsi="Arial" w:cs="Arial"/>
                <w:sz w:val="24"/>
                <w:szCs w:val="24"/>
              </w:rPr>
              <w:t>97.5%</w:t>
            </w:r>
          </w:p>
        </w:tc>
      </w:tr>
      <w:tr w:rsidR="00BE2D71" w:rsidTr="004A3E0F">
        <w:trPr>
          <w:trHeight w:val="237"/>
        </w:trPr>
        <w:tc>
          <w:tcPr>
            <w:tcW w:w="2321" w:type="dxa"/>
            <w:shd w:val="clear" w:color="auto" w:fill="FFC000"/>
          </w:tcPr>
          <w:p w:rsidR="00BE2D71" w:rsidRDefault="004A3E0F" w:rsidP="00BE2D71">
            <w:pPr>
              <w:jc w:val="center"/>
              <w:rPr>
                <w:rFonts w:ascii="Arial" w:hAnsi="Arial" w:cs="Arial"/>
                <w:sz w:val="24"/>
                <w:szCs w:val="24"/>
              </w:rPr>
            </w:pPr>
            <w:r>
              <w:rPr>
                <w:rFonts w:ascii="Arial" w:hAnsi="Arial" w:cs="Arial"/>
                <w:sz w:val="24"/>
                <w:szCs w:val="24"/>
              </w:rPr>
              <w:t>10</w:t>
            </w:r>
          </w:p>
        </w:tc>
        <w:tc>
          <w:tcPr>
            <w:tcW w:w="2321" w:type="dxa"/>
            <w:shd w:val="clear" w:color="auto" w:fill="FFC000"/>
          </w:tcPr>
          <w:p w:rsidR="00BE2D71" w:rsidRDefault="004A3E0F" w:rsidP="00BE2D71">
            <w:pPr>
              <w:jc w:val="center"/>
              <w:rPr>
                <w:rFonts w:ascii="Arial" w:hAnsi="Arial" w:cs="Arial"/>
                <w:sz w:val="24"/>
                <w:szCs w:val="24"/>
              </w:rPr>
            </w:pPr>
            <w:r>
              <w:rPr>
                <w:rFonts w:ascii="Arial" w:hAnsi="Arial" w:cs="Arial"/>
                <w:sz w:val="24"/>
                <w:szCs w:val="24"/>
              </w:rPr>
              <w:t>2 weeks</w:t>
            </w:r>
          </w:p>
        </w:tc>
        <w:tc>
          <w:tcPr>
            <w:tcW w:w="2321" w:type="dxa"/>
            <w:shd w:val="clear" w:color="auto" w:fill="FFC000"/>
          </w:tcPr>
          <w:p w:rsidR="00BE2D71" w:rsidRDefault="004A3E0F" w:rsidP="00BE2D71">
            <w:pPr>
              <w:jc w:val="center"/>
              <w:rPr>
                <w:rFonts w:ascii="Arial" w:hAnsi="Arial" w:cs="Arial"/>
                <w:sz w:val="24"/>
                <w:szCs w:val="24"/>
              </w:rPr>
            </w:pPr>
            <w:r>
              <w:rPr>
                <w:rFonts w:ascii="Arial" w:hAnsi="Arial" w:cs="Arial"/>
                <w:sz w:val="24"/>
                <w:szCs w:val="24"/>
              </w:rPr>
              <w:t>50</w:t>
            </w:r>
          </w:p>
        </w:tc>
        <w:tc>
          <w:tcPr>
            <w:tcW w:w="2321" w:type="dxa"/>
            <w:shd w:val="clear" w:color="auto" w:fill="FFC000"/>
          </w:tcPr>
          <w:p w:rsidR="00BE2D71" w:rsidRDefault="004A3E0F" w:rsidP="00BE2D71">
            <w:pPr>
              <w:jc w:val="center"/>
              <w:rPr>
                <w:rFonts w:ascii="Arial" w:hAnsi="Arial" w:cs="Arial"/>
                <w:sz w:val="24"/>
                <w:szCs w:val="24"/>
              </w:rPr>
            </w:pPr>
            <w:r>
              <w:rPr>
                <w:rFonts w:ascii="Arial" w:hAnsi="Arial" w:cs="Arial"/>
                <w:sz w:val="24"/>
                <w:szCs w:val="24"/>
              </w:rPr>
              <w:t>95%</w:t>
            </w:r>
          </w:p>
        </w:tc>
      </w:tr>
      <w:tr w:rsidR="00BE2D71" w:rsidTr="004A3E0F">
        <w:trPr>
          <w:trHeight w:val="250"/>
        </w:trPr>
        <w:tc>
          <w:tcPr>
            <w:tcW w:w="2321" w:type="dxa"/>
            <w:shd w:val="clear" w:color="auto" w:fill="FFC000"/>
          </w:tcPr>
          <w:p w:rsidR="00BE2D71" w:rsidRDefault="004A3E0F" w:rsidP="00BE2D71">
            <w:pPr>
              <w:jc w:val="center"/>
              <w:rPr>
                <w:rFonts w:ascii="Arial" w:hAnsi="Arial" w:cs="Arial"/>
                <w:sz w:val="24"/>
                <w:szCs w:val="24"/>
              </w:rPr>
            </w:pPr>
            <w:r>
              <w:rPr>
                <w:rFonts w:ascii="Arial" w:hAnsi="Arial" w:cs="Arial"/>
                <w:sz w:val="24"/>
                <w:szCs w:val="24"/>
              </w:rPr>
              <w:t>15</w:t>
            </w:r>
          </w:p>
        </w:tc>
        <w:tc>
          <w:tcPr>
            <w:tcW w:w="2321" w:type="dxa"/>
            <w:shd w:val="clear" w:color="auto" w:fill="FFC000"/>
          </w:tcPr>
          <w:p w:rsidR="00BE2D71" w:rsidRDefault="004A3E0F" w:rsidP="00BE2D71">
            <w:pPr>
              <w:jc w:val="center"/>
              <w:rPr>
                <w:rFonts w:ascii="Arial" w:hAnsi="Arial" w:cs="Arial"/>
                <w:sz w:val="24"/>
                <w:szCs w:val="24"/>
              </w:rPr>
            </w:pPr>
            <w:r>
              <w:rPr>
                <w:rFonts w:ascii="Arial" w:hAnsi="Arial" w:cs="Arial"/>
                <w:sz w:val="24"/>
                <w:szCs w:val="24"/>
              </w:rPr>
              <w:t>3 weeks</w:t>
            </w:r>
          </w:p>
        </w:tc>
        <w:tc>
          <w:tcPr>
            <w:tcW w:w="2321" w:type="dxa"/>
            <w:shd w:val="clear" w:color="auto" w:fill="FFC000"/>
          </w:tcPr>
          <w:p w:rsidR="00BE2D71" w:rsidRDefault="004A3E0F" w:rsidP="00BE2D71">
            <w:pPr>
              <w:jc w:val="center"/>
              <w:rPr>
                <w:rFonts w:ascii="Arial" w:hAnsi="Arial" w:cs="Arial"/>
                <w:sz w:val="24"/>
                <w:szCs w:val="24"/>
              </w:rPr>
            </w:pPr>
            <w:r>
              <w:rPr>
                <w:rFonts w:ascii="Arial" w:hAnsi="Arial" w:cs="Arial"/>
                <w:sz w:val="24"/>
                <w:szCs w:val="24"/>
              </w:rPr>
              <w:t>75</w:t>
            </w:r>
          </w:p>
        </w:tc>
        <w:tc>
          <w:tcPr>
            <w:tcW w:w="2321" w:type="dxa"/>
            <w:shd w:val="clear" w:color="auto" w:fill="FFC000"/>
          </w:tcPr>
          <w:p w:rsidR="00BE2D71" w:rsidRDefault="004A3E0F" w:rsidP="00BE2D71">
            <w:pPr>
              <w:jc w:val="center"/>
              <w:rPr>
                <w:rFonts w:ascii="Arial" w:hAnsi="Arial" w:cs="Arial"/>
                <w:sz w:val="24"/>
                <w:szCs w:val="24"/>
              </w:rPr>
            </w:pPr>
            <w:r>
              <w:rPr>
                <w:rFonts w:ascii="Arial" w:hAnsi="Arial" w:cs="Arial"/>
                <w:sz w:val="24"/>
                <w:szCs w:val="24"/>
              </w:rPr>
              <w:t>92.5%</w:t>
            </w:r>
          </w:p>
        </w:tc>
      </w:tr>
      <w:tr w:rsidR="004A3E0F" w:rsidTr="004A3E0F">
        <w:trPr>
          <w:trHeight w:val="237"/>
        </w:trPr>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20</w:t>
            </w:r>
          </w:p>
        </w:tc>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4 weeks</w:t>
            </w:r>
          </w:p>
        </w:tc>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100</w:t>
            </w:r>
          </w:p>
        </w:tc>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89.7%</w:t>
            </w:r>
          </w:p>
        </w:tc>
      </w:tr>
      <w:tr w:rsidR="004A3E0F" w:rsidTr="004A3E0F">
        <w:trPr>
          <w:trHeight w:val="237"/>
        </w:trPr>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25</w:t>
            </w:r>
          </w:p>
        </w:tc>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5 weeks</w:t>
            </w:r>
          </w:p>
        </w:tc>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125</w:t>
            </w:r>
          </w:p>
        </w:tc>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87.5%</w:t>
            </w:r>
          </w:p>
        </w:tc>
      </w:tr>
      <w:tr w:rsidR="004A3E0F" w:rsidTr="004A3E0F">
        <w:trPr>
          <w:trHeight w:val="237"/>
        </w:trPr>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30</w:t>
            </w:r>
          </w:p>
        </w:tc>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6 weeks</w:t>
            </w:r>
          </w:p>
        </w:tc>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150</w:t>
            </w:r>
          </w:p>
        </w:tc>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85%</w:t>
            </w:r>
          </w:p>
        </w:tc>
      </w:tr>
      <w:tr w:rsidR="004A3E0F" w:rsidTr="004A3E0F">
        <w:trPr>
          <w:trHeight w:val="474"/>
        </w:trPr>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35</w:t>
            </w:r>
          </w:p>
        </w:tc>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7 weeks</w:t>
            </w:r>
          </w:p>
          <w:p w:rsidR="004A3E0F" w:rsidRDefault="004A3E0F" w:rsidP="00BE2D71">
            <w:pPr>
              <w:jc w:val="center"/>
              <w:rPr>
                <w:rFonts w:ascii="Arial" w:hAnsi="Arial" w:cs="Arial"/>
                <w:sz w:val="24"/>
                <w:szCs w:val="24"/>
              </w:rPr>
            </w:pPr>
            <w:r>
              <w:rPr>
                <w:rFonts w:ascii="Arial" w:hAnsi="Arial" w:cs="Arial"/>
                <w:sz w:val="24"/>
                <w:szCs w:val="24"/>
              </w:rPr>
              <w:t>A whole half term</w:t>
            </w:r>
          </w:p>
        </w:tc>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175</w:t>
            </w:r>
          </w:p>
        </w:tc>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82.5%</w:t>
            </w:r>
          </w:p>
        </w:tc>
      </w:tr>
      <w:tr w:rsidR="004A3E0F" w:rsidTr="004A3E0F">
        <w:trPr>
          <w:trHeight w:val="237"/>
        </w:trPr>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40</w:t>
            </w:r>
          </w:p>
        </w:tc>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8 weeks</w:t>
            </w:r>
          </w:p>
        </w:tc>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200</w:t>
            </w:r>
          </w:p>
        </w:tc>
        <w:tc>
          <w:tcPr>
            <w:tcW w:w="2321" w:type="dxa"/>
            <w:shd w:val="clear" w:color="auto" w:fill="FF0000"/>
          </w:tcPr>
          <w:p w:rsidR="004A3E0F" w:rsidRDefault="004A3E0F" w:rsidP="00BE2D71">
            <w:pPr>
              <w:jc w:val="center"/>
              <w:rPr>
                <w:rFonts w:ascii="Arial" w:hAnsi="Arial" w:cs="Arial"/>
                <w:sz w:val="24"/>
                <w:szCs w:val="24"/>
              </w:rPr>
            </w:pPr>
            <w:r>
              <w:rPr>
                <w:rFonts w:ascii="Arial" w:hAnsi="Arial" w:cs="Arial"/>
                <w:sz w:val="24"/>
                <w:szCs w:val="24"/>
              </w:rPr>
              <w:t>80%</w:t>
            </w:r>
          </w:p>
        </w:tc>
      </w:tr>
    </w:tbl>
    <w:p w:rsidR="00BE2D71" w:rsidRDefault="00BE2D71" w:rsidP="00BE2D71">
      <w:pPr>
        <w:jc w:val="center"/>
        <w:rPr>
          <w:rFonts w:ascii="Arial" w:hAnsi="Arial" w:cs="Arial"/>
          <w:sz w:val="24"/>
          <w:szCs w:val="24"/>
        </w:rPr>
      </w:pPr>
    </w:p>
    <w:p w:rsidR="008E1CC7" w:rsidRDefault="008E1CC7" w:rsidP="008E1CC7">
      <w:pPr>
        <w:rPr>
          <w:rFonts w:ascii="Arial" w:hAnsi="Arial" w:cs="Arial"/>
          <w:sz w:val="24"/>
          <w:szCs w:val="24"/>
        </w:rPr>
      </w:pPr>
      <w:r>
        <w:rPr>
          <w:rFonts w:ascii="Arial" w:hAnsi="Arial" w:cs="Arial"/>
          <w:sz w:val="24"/>
          <w:szCs w:val="24"/>
        </w:rPr>
        <w:t xml:space="preserve">Each half term we will be monitoring your </w:t>
      </w:r>
      <w:r w:rsidR="00A675A2">
        <w:rPr>
          <w:rFonts w:ascii="Arial" w:hAnsi="Arial" w:cs="Arial"/>
          <w:sz w:val="24"/>
          <w:szCs w:val="24"/>
        </w:rPr>
        <w:t>child’s</w:t>
      </w:r>
      <w:r>
        <w:rPr>
          <w:rFonts w:ascii="Arial" w:hAnsi="Arial" w:cs="Arial"/>
          <w:sz w:val="24"/>
          <w:szCs w:val="24"/>
        </w:rPr>
        <w:t xml:space="preserve"> attendance. You will only receive correspondence from school at the end of </w:t>
      </w:r>
      <w:r w:rsidR="00417199">
        <w:rPr>
          <w:rFonts w:ascii="Arial" w:hAnsi="Arial" w:cs="Arial"/>
          <w:sz w:val="24"/>
          <w:szCs w:val="24"/>
        </w:rPr>
        <w:t>autumn</w:t>
      </w:r>
      <w:r>
        <w:rPr>
          <w:rFonts w:ascii="Arial" w:hAnsi="Arial" w:cs="Arial"/>
          <w:sz w:val="24"/>
          <w:szCs w:val="24"/>
        </w:rPr>
        <w:t xml:space="preserve"> term 1 if you are in the red zone).  Following on from th</w:t>
      </w:r>
      <w:r w:rsidR="00255705">
        <w:rPr>
          <w:rFonts w:ascii="Arial" w:hAnsi="Arial" w:cs="Arial"/>
          <w:sz w:val="24"/>
          <w:szCs w:val="24"/>
        </w:rPr>
        <w:t>is you will receive letters from</w:t>
      </w:r>
      <w:r>
        <w:rPr>
          <w:rFonts w:ascii="Arial" w:hAnsi="Arial" w:cs="Arial"/>
          <w:sz w:val="24"/>
          <w:szCs w:val="24"/>
        </w:rPr>
        <w:t xml:space="preserve"> school if you are in the amber or red </w:t>
      </w:r>
      <w:r w:rsidR="00A675A2">
        <w:rPr>
          <w:rFonts w:ascii="Arial" w:hAnsi="Arial" w:cs="Arial"/>
          <w:sz w:val="24"/>
          <w:szCs w:val="24"/>
        </w:rPr>
        <w:t>zone at</w:t>
      </w:r>
      <w:r>
        <w:rPr>
          <w:rFonts w:ascii="Arial" w:hAnsi="Arial" w:cs="Arial"/>
          <w:sz w:val="24"/>
          <w:szCs w:val="24"/>
        </w:rPr>
        <w:t xml:space="preserve"> the end of each subsequent half term.  If you do not hear from school at the end of each half term presume your child is in the green zone.</w:t>
      </w:r>
    </w:p>
    <w:p w:rsidR="00A675A2" w:rsidRDefault="00A675A2" w:rsidP="008E1CC7">
      <w:pPr>
        <w:rPr>
          <w:rFonts w:ascii="Arial" w:hAnsi="Arial" w:cs="Arial"/>
          <w:sz w:val="24"/>
          <w:szCs w:val="24"/>
        </w:rPr>
      </w:pPr>
      <w:r>
        <w:rPr>
          <w:rFonts w:ascii="Arial" w:hAnsi="Arial" w:cs="Arial"/>
          <w:sz w:val="24"/>
          <w:szCs w:val="24"/>
        </w:rPr>
        <w:lastRenderedPageBreak/>
        <w:t>If for any particular circumstance your child enters the red zone the red letter will invite you to ring school to make an appointment with Mrs Bryson and Mr Harrison to discuss how we can support you in ensuring your child’s attendance improves.  If you do not take up this offer a further red letter will be sent out with an appointment for you to attend school.</w:t>
      </w:r>
    </w:p>
    <w:p w:rsidR="00BE2D71" w:rsidRDefault="004A3E0F">
      <w:pPr>
        <w:rPr>
          <w:rFonts w:ascii="Arial" w:hAnsi="Arial" w:cs="Arial"/>
          <w:sz w:val="24"/>
          <w:szCs w:val="24"/>
        </w:rPr>
      </w:pPr>
      <w:r>
        <w:rPr>
          <w:rFonts w:ascii="Arial" w:hAnsi="Arial" w:cs="Arial"/>
          <w:sz w:val="24"/>
          <w:szCs w:val="24"/>
        </w:rPr>
        <w:t xml:space="preserve">I would like to take this opportunity to thank you for all your efforts over the last year in regards to attendance and I hope moving forward we can work in partnership to ensure your child has the </w:t>
      </w:r>
      <w:r w:rsidR="008E1CC7">
        <w:rPr>
          <w:rFonts w:ascii="Arial" w:hAnsi="Arial" w:cs="Arial"/>
          <w:sz w:val="24"/>
          <w:szCs w:val="24"/>
        </w:rPr>
        <w:t>highest possible attendance this</w:t>
      </w:r>
      <w:r>
        <w:rPr>
          <w:rFonts w:ascii="Arial" w:hAnsi="Arial" w:cs="Arial"/>
          <w:sz w:val="24"/>
          <w:szCs w:val="24"/>
        </w:rPr>
        <w:t xml:space="preserve"> year.</w:t>
      </w:r>
    </w:p>
    <w:p w:rsidR="00417199" w:rsidRDefault="00417199">
      <w:pPr>
        <w:rPr>
          <w:rFonts w:ascii="Arial" w:hAnsi="Arial" w:cs="Arial"/>
          <w:sz w:val="24"/>
          <w:szCs w:val="24"/>
        </w:rPr>
      </w:pPr>
      <w:r>
        <w:rPr>
          <w:rFonts w:ascii="Arial" w:hAnsi="Arial" w:cs="Arial"/>
          <w:sz w:val="24"/>
          <w:szCs w:val="24"/>
        </w:rPr>
        <w:t>Yours sincerely</w:t>
      </w:r>
    </w:p>
    <w:p w:rsidR="00417199" w:rsidRDefault="00417199">
      <w:pPr>
        <w:rPr>
          <w:rFonts w:ascii="Arial" w:hAnsi="Arial" w:cs="Arial"/>
          <w:sz w:val="24"/>
          <w:szCs w:val="24"/>
        </w:rPr>
      </w:pPr>
    </w:p>
    <w:p w:rsidR="00417199" w:rsidRDefault="00417199">
      <w:pPr>
        <w:rPr>
          <w:rFonts w:ascii="Arial" w:hAnsi="Arial" w:cs="Arial"/>
          <w:sz w:val="24"/>
          <w:szCs w:val="24"/>
        </w:rPr>
      </w:pPr>
      <w:r>
        <w:rPr>
          <w:rFonts w:ascii="Arial" w:hAnsi="Arial" w:cs="Arial"/>
          <w:sz w:val="24"/>
          <w:szCs w:val="24"/>
        </w:rPr>
        <w:t>David Harrison</w:t>
      </w:r>
    </w:p>
    <w:p w:rsidR="00417199" w:rsidRPr="00E82E5E" w:rsidRDefault="00417199">
      <w:pPr>
        <w:rPr>
          <w:rFonts w:ascii="Arial" w:hAnsi="Arial" w:cs="Arial"/>
          <w:sz w:val="24"/>
          <w:szCs w:val="24"/>
        </w:rPr>
      </w:pPr>
      <w:r>
        <w:rPr>
          <w:rFonts w:ascii="Arial" w:hAnsi="Arial" w:cs="Arial"/>
          <w:sz w:val="24"/>
          <w:szCs w:val="24"/>
        </w:rPr>
        <w:t>Headteacher</w:t>
      </w:r>
      <w:bookmarkStart w:id="0" w:name="_GoBack"/>
      <w:bookmarkEnd w:id="0"/>
    </w:p>
    <w:sectPr w:rsidR="00417199" w:rsidRPr="00E82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5E"/>
    <w:rsid w:val="00255705"/>
    <w:rsid w:val="00417199"/>
    <w:rsid w:val="004A3E0F"/>
    <w:rsid w:val="007271C3"/>
    <w:rsid w:val="007F209A"/>
    <w:rsid w:val="008E1CC7"/>
    <w:rsid w:val="00A675A2"/>
    <w:rsid w:val="00BE2D71"/>
    <w:rsid w:val="00E82E5E"/>
    <w:rsid w:val="00E945C2"/>
    <w:rsid w:val="00ED5D52"/>
    <w:rsid w:val="00FC5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B8B0E-7FB4-49C6-9B7A-E9E66A95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7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Lorraine Hayes</cp:lastModifiedBy>
  <cp:revision>7</cp:revision>
  <cp:lastPrinted>2021-09-13T09:49:00Z</cp:lastPrinted>
  <dcterms:created xsi:type="dcterms:W3CDTF">2021-07-06T09:28:00Z</dcterms:created>
  <dcterms:modified xsi:type="dcterms:W3CDTF">2021-09-23T10:29:00Z</dcterms:modified>
</cp:coreProperties>
</file>